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center"/>
        <w:rPr>
          <w:sz w:val="28"/>
        </w:rPr>
      </w:pPr>
      <w:r>
        <w:rPr>
          <w:b w:val="1"/>
          <w:sz w:val="48"/>
          <w:u w:val="single"/>
        </w:rPr>
        <w:t>Курская транспортная</w:t>
      </w:r>
      <w:r>
        <w:rPr>
          <w:b w:val="1"/>
          <w:sz w:val="48"/>
          <w:u w:val="single"/>
        </w:rPr>
        <w:t xml:space="preserve"> </w:t>
      </w:r>
      <w:r>
        <w:rPr>
          <w:b w:val="1"/>
          <w:sz w:val="48"/>
          <w:u w:val="single"/>
        </w:rPr>
        <w:t>прокуратура разъясняет:</w:t>
      </w:r>
    </w:p>
    <w:p w14:paraId="02000000">
      <w:pPr>
        <w:widowControl w:val="1"/>
        <w:ind w:firstLine="709"/>
        <w:jc w:val="center"/>
        <w:rPr>
          <w:b w:val="1"/>
          <w:sz w:val="48"/>
          <w:u w:val="single"/>
        </w:rPr>
      </w:pPr>
      <w:r>
        <w:rPr>
          <w:rFonts w:ascii="Arial" w:hAnsi="Arial"/>
          <w:color w:val="000000"/>
          <w:sz w:val="19"/>
        </w:rPr>
        <w:drawing>
          <wp:inline>
            <wp:extent cx="1027684" cy="105981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27684" cy="10598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r>
        <w:t> </w:t>
      </w:r>
    </w:p>
    <w:p w14:paraId="04000000">
      <w:pPr>
        <w:widowControl w:val="1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Особенности уплаты утилизационного сбора </w:t>
      </w:r>
    </w:p>
    <w:p w14:paraId="05000000">
      <w:pPr>
        <w:widowControl w:val="1"/>
        <w:ind w:firstLine="709"/>
        <w:jc w:val="both"/>
        <w:rPr>
          <w:sz w:val="28"/>
        </w:rPr>
      </w:pP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отношении транспортных средств, ввозимых в РФ или произведенных (изготовленных) в РФ, за некоторым исключением, введен утилизационный сбор. В настоящее время он уплачивается в отношении колесных транспортных средств (шасси), самоходных машин и прицепов к ним. </w:t>
      </w:r>
    </w:p>
    <w:p w14:paraId="0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Виды и категории транспортных средств определены Правительством РФ (п. п. 1, 2 ст. 24.1 Закона от 24.06.1998 № 89-ФЗ; п. 1(1) Правил, утв. Постановлением Правительства РФ от 06.02.2016 № 81).</w:t>
      </w:r>
    </w:p>
    <w:p w14:paraId="0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Утилизационный сбор не уплачивается в отношении, в частности, следующих транспортных средств (п. 6 ст. 24.1 Закона № 89-ФЗ; Письмо № СД-4-3/5250@; п. 2 Постановления Правительства РФ № 81):</w:t>
      </w:r>
    </w:p>
    <w:p w14:paraId="0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1) ввозимых в РФ в качестве личного имущества физлицами, являющимися участниками Госпрограммы по оказанию содействия добровольному переселению в РФ соотечественников, проживающих за рубежом, либо признанными беженцами или вынужденными переселенцами;</w:t>
      </w:r>
    </w:p>
    <w:p w14:paraId="0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2) с года выпуска которых прошло 30 и более лет и которые не используются в коммерческих целях, имеют оригинальный двигатель, кузов и (при наличии) раму, сохранены или отреставрированы до оригинального состояния;</w:t>
      </w:r>
    </w:p>
    <w:p w14:paraId="0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3) не указанных в Перечне колесных транспортных средств (шасси) и прицепов к ним, а также прицепов к колесным транспортным средствам, выпущенных в обращение до 10.02.2016;</w:t>
      </w:r>
    </w:p>
    <w:p w14:paraId="0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4) не указанных в Перечне самоходных машин и прицепов к ним, в отношении которых сбор уплачивается, а также самоходных машин и прицепов к ним, выпущенных в обращение до 10.02.2016;</w:t>
      </w:r>
    </w:p>
    <w:p w14:paraId="0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5) ввозимых в РФ и помещаемых под таможенную процедуру временного ввоза (допуска).</w:t>
      </w:r>
    </w:p>
    <w:p w14:paraId="0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Ситуации, когда нужно заплатить утилизационный сбор самостоятельно, и сроки его уплаты</w:t>
      </w:r>
    </w:p>
    <w:p w14:paraId="0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Уплатить сбор нужно, в частности, в следующих случаях (п. 3 ст. 24.1 Закона № 89-ФЗ):</w:t>
      </w: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1) при приобретении транспортного средства за границей и ввозе его на территорию РФ;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2) при приобретении транспортного средства у лиц, освобожденных от уплаты утилизационного сбора (участники госпрограммы по переселению, граждане, признанные в установленном порядке беженцами или вынужденными переселенцами, дипломатические представительства, консульские учреждения, международные организации, а также их сотрудники и члены их семей);</w:t>
      </w:r>
    </w:p>
    <w:p w14:paraId="1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3) при приобретении транспортного средства у лиц, которые должны были заплатить утилизационный сбор, но не сделали этого.</w:t>
      </w:r>
    </w:p>
    <w:p w14:paraId="1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Отметим, что отчуждение транспортного средства лицом, осуществившим его ввоз на территорию РФ, но не уплатившим утилизационный сбор, не прекращает обязанности данного лица по уплате утилизационного сбора. </w:t>
      </w:r>
    </w:p>
    <w:p w14:paraId="1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Кроме того, отчуждение транспортного средства, ввезенного физическим лицом для личного пользования в РФ, до истечения 12 месяцев со дня оформления таможенного приходного ордера влечет пересмотр (увеличение) уплаченной суммы утилизационного сбора. </w:t>
      </w:r>
    </w:p>
    <w:p w14:paraId="1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неосуществлении соответствующей доплаты обязанность по уплате утилизационного сбора считается неисполненной (п. 5 Правил № 1291; п. 38 Обзора судебной практики Верховного Суда РФ № 4 (2019), утв. Президиумом Верховного Суда РФ 25.12.2019).</w:t>
      </w:r>
    </w:p>
    <w:p w14:paraId="1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Для уплаты утилизационного сбора потребуется, в частности, расчет суммы утилизационного сбора. </w:t>
      </w:r>
    </w:p>
    <w:p w14:paraId="1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Так, в случае ввоза транспортного средства на территорию РФ, а также приобретения колесного транспортного средства (не относящегося к самоходным машинам) у лиц, освобожденных от уплаты утилизационного сбора в соответствии с абз. 2 и 3 п. 6 ст. 24.1 Закона № 89-ФЗ, или у лиц, обязанных уплатить, но не уплативших утилизационный сбор в отношении ввезенного колесного транспортного средства, расчет представляется в установленном порядке в таможенный орган (п. п. 3, 4, 11 Правил № 1291; п. п. 3, 4, 11, 18 Правил № 81).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Утилизационный сбор, например, при ввозе самоходной машины на территорию РФ необходимо уплатить в следующие сроки (п. 11(7) Правил N 81):</w:t>
      </w:r>
    </w:p>
    <w:p w14:paraId="1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не позднее принятия таможенным органом решения о выпуске самоходной машины;</w:t>
      </w:r>
    </w:p>
    <w:p w14:paraId="1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не позднее 5-го рабочего дня со дня фактического пересечения самоходной машиной государственной границы РФ и (или) пределов территорий, над которыми РФ осуществляет юрисдикцию в соответствии с законодательством РФ и нормами международного права, если машина не подлежит таможенному декларированию при ввозе в РФ, до момента госрегистрации самоходной машины (если она подлежит госрегистрации).</w:t>
      </w:r>
    </w:p>
    <w:p w14:paraId="1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недекларировании самоходной машины, подлежащей таможенному декларированию, или при неисполнении обязанности по уплате утилизационного сбора в отношении самоходной машины, не подлежащей таможенному декларированию при ввозе в РФ, сроком уплаты утилизационного сбора считается день пересечения самоходной машиной государственной границы РФ, а если этот день не установлен - первый документально установленный день нахождения самоходной машины на территории РФ (п. 11(7) Правил № 81).</w:t>
      </w:r>
    </w:p>
    <w:p w14:paraId="1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 случае непредставления в таможенный орган документов, необходимых для подтверждения правильности исчисления суммы утилизационного сбора, вам начислят пени за его неуплату. Размер пеней составляет 1/300 ключевой ставки (ставки рефинансирования), действующей в период просрочки его уплаты, за каждый календарный день просрочки, начиная со дня, следующего за днем истечения указанного срока (п. 11(2) Правил № 1291; п. п. 17(2), 17(4) Правил № 81).</w:t>
      </w:r>
    </w:p>
    <w:p w14:paraId="1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Неуплата утилизационного сбора в течение установленного срока и в случаях, установленных Правительством РФ, является основанием для отказа в совершении регистрационных действий по постановке ввезенного в РФ транспортного средства на государственный учет или внесения изменений в регистрационные данные такого транспортного средства в связи со сменой его владельца (п. 9 ч. 5 ст. 20 Закона от 03.08.2018 № 283-ФЗ).</w:t>
      </w:r>
    </w:p>
    <w:p w14:paraId="1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Если в течение трех лет с даты ввоза автомобиля в РФ после уплаты утилизационного сбора/проставления отметки в ПТС установлена неуплата/неполная уплата сбора, таможенные органы в течение 10 рабочих дней информируют об этом плательщика. В случае неуплаты сбора и пеней в течение 20 календарных дней со дня получения информации сумма сбора взыскивается через суд (п. 15(1) Правил N 1291).</w:t>
      </w:r>
    </w:p>
    <w:p w14:paraId="1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Размер утилизационного сбора равен произведению базовой ставки для расчета размера утилизационного сбора и коэффициента расчета суммы утилизационного сбора. В отношении легковых автомобилей базовая ставка составляет 20 000 руб. </w:t>
      </w:r>
      <w:r>
        <w:rPr>
          <w:sz w:val="28"/>
        </w:rPr>
        <w:t xml:space="preserve">Коэффициент для автомобилей с 01.12.2025 зависит от вида, объема и мощности двигателя. </w:t>
      </w:r>
    </w:p>
    <w:p w14:paraId="2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этом под ввезенным в РФ для личного пользования понимается транспортное средство, ввезенное в РФ физическим лицом, в отношении которого одновременно соблюдаются следующие условия (сноска 7 к Перечню № 1291):</w:t>
      </w:r>
    </w:p>
    <w:p w14:paraId="2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ввезено в РФ либо приобретено на открытых аукционах (торгах), проводимых Росимуществом и (или) его подразделениями на территории РФ, плательщиком утилизационного сбора, который в расчете суммы утилизационного сбора в отношении колесных транспортных средств (шасси) и (или) прицепов к ним указал, что это транспортное средство предполагается к использованию для личного пользования;</w:t>
      </w:r>
    </w:p>
    <w:p w14:paraId="2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в течение 12 месяцев со дня оформления таможенного приходного ордера зарегистрировано на плательщика утилизационного сбора.</w:t>
      </w:r>
    </w:p>
    <w:p w14:paraId="2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Также должно быть соблюдено одно из следующих условий (сноска 7 к Перечню № 1291):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таможенные пошлины, налоги уплачены по единым ставкам либо в виде совокупного таможенного платежа в порядке, определенном ТК ЕАЭС. Если решение о выпуске ТС в свободное обращение на территории ЕАЭС принято не таможенными органами РФ, с даты такого выпуска до даты подачи расчета суммы утилизационного сбора должно пройти не менее 12 месяцев;</w:t>
      </w:r>
    </w:p>
    <w:p w14:paraId="2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приобретено на открытых аукционах (торгах), проводимых Росимуществом и (или) его подразделениями на территории РФ, при условии, что плательщик утилизационного сбора ранее не приобретал на таких торгах и (или) не ввозил на территорию РФ иное транспортное средство для личного пользования;</w:t>
      </w:r>
    </w:p>
    <w:p w14:paraId="2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приобретено на открытых аукционах (торгах), проводимых Росимуществом и (или) его подразделениями на территории РФ, после истечения 12 месяцев с даты оформления таможенного приходного ордера в отношении ранее приобретенного плательщиком утилизационного сбора на таких торгах и (или) ранее ввезенного указанным плательщиком на территорию РФ иного транспортного средства для личного пользования;</w:t>
      </w:r>
    </w:p>
    <w:p w14:paraId="2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ввозится в РФ физическим лицом, признанным переселившимся на постоянное место жительства в РФ, с освобождением от уплаты таможенных пошлин, налогов в установленных случаях;</w:t>
      </w:r>
    </w:p>
    <w:p w14:paraId="2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- транспортное средство ввозится в РФ членом семьи участника Государственной программы по оказанию содействия добровольному переселению в РФ соотечественников, проживающих за рубежом.</w:t>
      </w:r>
    </w:p>
    <w:p w14:paraId="2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Уплатить утилизационный сбор, взимаемый Федеральной таможенной службой, в отношении колесного транспортного средства можно с использованием электронных средств платежа (в том числе через платежные терминалы или банкоматы) (п. 11(1) Правил № 1291).</w:t>
      </w:r>
    </w:p>
    <w:p w14:paraId="2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 отношении самоходных машин уплата утилизационного сбора, взимаемого Федеральной таможенной службой, осуществляется с использованием авансовых платежей, внесенных на соответствующий счет Федерального казначейства. Если в месте совершения таможенных операций отсутствуют кредитные организации либо возможность внесения указанных платежей с использованием программных и (или) технических средств (устройств) в рамках соответствующей платежной системы, вы можете уплатить утилизационный сбор наличными денежными средствами в кассу таможенного органа, а если касса таможенного органа также отсутствует - непосредственно уполномоченному должностному лицу, с которым таможенным органом заключен договор о полной индивидуальной материальной ответственности (п. 12 Правил № 81).</w:t>
      </w:r>
    </w:p>
    <w:p w14:paraId="2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По общему правилу после уплаты сбора необходимо представить в таможенный орган заполненный и подписанный вами расчет утилизационного сбора, а также иные необходимые документы (п. 11 Правил № 1291; п. 11 Правил № 81).</w:t>
      </w:r>
    </w:p>
    <w:p w14:paraId="2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После проверки правильности исчисления суммы утилизационного сбора и его уплаты в ПТС (электронный ПТС) вносятся данные о его уплате и таможенный орган выдает плательщику или его представителю таможенный приходный ордер (п. п. 12 - 12(2), 13 Правил № 1291; п. 13 Правил № 81).</w:t>
      </w:r>
    </w:p>
    <w:p w14:paraId="2D000000">
      <w:pPr>
        <w:widowControl w:val="1"/>
        <w:ind w:firstLine="709"/>
        <w:jc w:val="both"/>
        <w:rPr>
          <w:sz w:val="28"/>
        </w:rPr>
      </w:pPr>
    </w:p>
    <w:sectPr>
      <w:pgSz w:h="16848" w:orient="portrait" w:w="11908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link w:val="Style_7_ch"/>
    <w:uiPriority w:val="9"/>
    <w:qFormat/>
    <w:pPr>
      <w:widowControl w:val="0"/>
      <w:spacing w:afterAutospacing="on" w:beforeAutospacing="on"/>
      <w:ind/>
      <w:outlineLvl w:val="2"/>
    </w:pPr>
    <w:rPr>
      <w:b w:val="1"/>
      <w:sz w:val="27"/>
    </w:rPr>
  </w:style>
  <w:style w:styleId="Style_7_ch" w:type="character">
    <w:name w:val="heading 3"/>
    <w:basedOn w:val="Style_1_ch"/>
    <w:link w:val="Style_7"/>
    <w:rPr>
      <w:b w:val="1"/>
      <w:sz w:val="27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author"/>
    <w:basedOn w:val="Style_1"/>
    <w:link w:val="Style_9_ch"/>
    <w:pPr>
      <w:widowControl w:val="0"/>
      <w:spacing w:afterAutospacing="on" w:beforeAutospacing="on"/>
      <w:ind/>
    </w:pPr>
  </w:style>
  <w:style w:styleId="Style_9_ch" w:type="character">
    <w:name w:val="author"/>
    <w:basedOn w:val="Style_1_ch"/>
    <w:link w:val="Style_9"/>
  </w:style>
  <w:style w:styleId="Style_10" w:type="paragraph">
    <w:name w:val="b-feed__date"/>
    <w:basedOn w:val="Style_8"/>
    <w:link w:val="Style_10_ch"/>
  </w:style>
  <w:style w:styleId="Style_10_ch" w:type="character">
    <w:name w:val="b-feed__date"/>
    <w:basedOn w:val="Style_8_ch"/>
    <w:link w:val="Style_10"/>
  </w:style>
  <w:style w:styleId="Style_11" w:type="paragraph">
    <w:name w:val="date"/>
    <w:basedOn w:val="Style_1"/>
    <w:link w:val="Style_11_ch"/>
    <w:pPr>
      <w:widowControl w:val="0"/>
      <w:spacing w:afterAutospacing="on" w:beforeAutospacing="on"/>
      <w:ind/>
    </w:pPr>
  </w:style>
  <w:style w:styleId="Style_11_ch" w:type="character">
    <w:name w:val="date"/>
    <w:basedOn w:val="Style_1_ch"/>
    <w:link w:val="Style_11"/>
  </w:style>
  <w:style w:styleId="Style_12" w:type="paragraph">
    <w:name w:val="toc 3"/>
    <w:next w:val="Style_1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Strong"/>
    <w:link w:val="Style_13_ch"/>
    <w:rPr>
      <w:b w:val="1"/>
    </w:rPr>
  </w:style>
  <w:style w:styleId="Style_13_ch" w:type="character">
    <w:name w:val="Strong"/>
    <w:link w:val="Style_13"/>
    <w:rPr>
      <w:b w:val="1"/>
    </w:rPr>
  </w:style>
  <w:style w:styleId="Style_14" w:type="paragraph">
    <w:name w:val="heading 5"/>
    <w:next w:val="Style_1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widowControl w:val="0"/>
      <w:spacing w:after="60" w:before="240"/>
      <w:ind/>
      <w:outlineLvl w:val="0"/>
    </w:pPr>
    <w:rPr>
      <w:rFonts w:ascii="Arial" w:hAnsi="Arial"/>
      <w:b w:val="1"/>
      <w:sz w:val="32"/>
    </w:rPr>
  </w:style>
  <w:style w:styleId="Style_15_ch" w:type="character">
    <w:name w:val="heading 1"/>
    <w:basedOn w:val="Style_1_ch"/>
    <w:link w:val="Style_15"/>
    <w:rPr>
      <w:rFonts w:ascii="Arial" w:hAnsi="Arial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rtejustify"/>
    <w:basedOn w:val="Style_1"/>
    <w:link w:val="Style_20_ch"/>
    <w:pPr>
      <w:widowControl w:val="0"/>
      <w:spacing w:afterAutospacing="on" w:beforeAutospacing="on"/>
      <w:ind/>
    </w:pPr>
  </w:style>
  <w:style w:styleId="Style_20_ch" w:type="character">
    <w:name w:val="rtejustify"/>
    <w:basedOn w:val="Style_1_ch"/>
    <w:link w:val="Style_20"/>
  </w:style>
  <w:style w:styleId="Style_21" w:type="paragraph">
    <w:name w:val="apple-converted-space"/>
    <w:basedOn w:val="Style_8"/>
    <w:link w:val="Style_21_ch"/>
  </w:style>
  <w:style w:styleId="Style_21_ch" w:type="character">
    <w:name w:val="apple-converted-space"/>
    <w:basedOn w:val="Style_8_ch"/>
    <w:link w:val="Style_21"/>
  </w:style>
  <w:style w:styleId="Style_22" w:type="paragraph">
    <w:name w:val="toc 9"/>
    <w:next w:val="Style_1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Normal (Web)"/>
    <w:basedOn w:val="Style_1"/>
    <w:link w:val="Style_23_ch"/>
    <w:pPr>
      <w:widowControl w:val="0"/>
      <w:spacing w:afterAutospacing="on" w:beforeAutospacing="on"/>
      <w:ind/>
    </w:pPr>
  </w:style>
  <w:style w:styleId="Style_23_ch" w:type="character">
    <w:name w:val="Normal (Web)"/>
    <w:basedOn w:val="Style_1_ch"/>
    <w:link w:val="Style_23"/>
  </w:style>
  <w:style w:styleId="Style_24" w:type="paragraph">
    <w:name w:val="toc 8"/>
    <w:next w:val="Style_1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Balloon Text"/>
    <w:basedOn w:val="Style_1"/>
    <w:link w:val="Style_27_ch"/>
    <w:rPr>
      <w:rFonts w:ascii="Tahoma" w:hAnsi="Tahoma"/>
      <w:sz w:val="16"/>
    </w:rPr>
  </w:style>
  <w:style w:styleId="Style_27_ch" w:type="character">
    <w:name w:val="Balloon Text"/>
    <w:basedOn w:val="Style_1_ch"/>
    <w:link w:val="Style_27"/>
    <w:rPr>
      <w:rFonts w:ascii="Tahoma" w:hAnsi="Tahoma"/>
      <w:sz w:val="16"/>
    </w:rPr>
  </w:style>
  <w:style w:styleId="Style_28" w:type="paragraph">
    <w:name w:val="Title"/>
    <w:next w:val="Style_1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b-share-btn__wrap"/>
    <w:basedOn w:val="Style_8"/>
    <w:link w:val="Style_30_ch"/>
  </w:style>
  <w:style w:styleId="Style_30_ch" w:type="character">
    <w:name w:val="b-share-btn__wrap"/>
    <w:basedOn w:val="Style_8_ch"/>
    <w:link w:val="Style_30"/>
  </w:style>
  <w:style w:styleId="Style_31" w:type="paragraph">
    <w:name w:val="heading 2"/>
    <w:basedOn w:val="Style_1"/>
    <w:next w:val="Style_1"/>
    <w:link w:val="Style_31_ch"/>
    <w:uiPriority w:val="9"/>
    <w:qFormat/>
    <w:pPr>
      <w:keepNext w:val="1"/>
      <w:widowControl w:val="0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1_ch" w:type="character">
    <w:name w:val="heading 2"/>
    <w:basedOn w:val="Style_1_ch"/>
    <w:link w:val="Style_31"/>
    <w:rPr>
      <w:rFonts w:ascii="Arial" w:hAnsi="Arial"/>
      <w:b w:val="1"/>
      <w:i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2025-10-27T07:18:15Z</dcterms:created>
  <dcterms:modified xsi:type="dcterms:W3CDTF">2026-06-26T05:33:17Z</dcterms:modified>
</cp:coreProperties>
</file>